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FB" w:rsidRPr="002D36CE" w:rsidRDefault="00F60D87" w:rsidP="00F60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Wytyczne dla projektantów i wykonawców w zakresie branży elektrycznej, automatyki i aparatury kontrolno-pomiarowej.</w:t>
      </w:r>
    </w:p>
    <w:p w:rsidR="005F13A0" w:rsidRDefault="005F13A0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Default="00725AFB" w:rsidP="002F5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Przepompownia </w:t>
      </w:r>
      <w:r w:rsidR="005F13A0">
        <w:rPr>
          <w:rFonts w:ascii="Times New Roman" w:hAnsi="Times New Roman" w:cs="Times New Roman"/>
        </w:rPr>
        <w:t xml:space="preserve">z założenia </w:t>
      </w:r>
      <w:r>
        <w:rPr>
          <w:rFonts w:ascii="Times New Roman" w:hAnsi="Times New Roman" w:cs="Times New Roman"/>
        </w:rPr>
        <w:t>powinna posiadać dwa niezależne źródła zasilania z sieci energetyki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zawodowej z układem automatyki SZR, wykonane zgodnie z warunkami przyłączenia do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sieci elektroenergetycznej operatora. Kable pomiarowe powinny dochodzić do złącza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kablowo-pomiarowego usytuowanego na ogrodzeniu przy granicy działki, skąd należy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odprowadzać wewnętrzne linie zasilające (WLZ) do głównej rozdzielni przepompowni. W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przypadku braku możliwości zapewnienia zasilania dwustronnego ze strony zakładu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energetycznego należy zaprojektować podłączenie agregatu prądotwórczego przewoźnego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dla przepompowni o mocy obliczeniowej do 15kW lub powyżej mocy obliczeniowej 15kW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należy zaprojektować agregat stacjonarny zabudowany w pomieszczeniu. Pompy powinny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posiadać zabezpieczenia termiczne i wilgotnościowe wpięte do układu sterowania. Należy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również stosować urządzenia </w:t>
      </w:r>
      <w:proofErr w:type="spellStart"/>
      <w:r>
        <w:rPr>
          <w:rFonts w:ascii="Times New Roman" w:hAnsi="Times New Roman" w:cs="Times New Roman"/>
        </w:rPr>
        <w:t>soft</w:t>
      </w:r>
      <w:proofErr w:type="spellEnd"/>
      <w:r>
        <w:rPr>
          <w:rFonts w:ascii="Times New Roman" w:hAnsi="Times New Roman" w:cs="Times New Roman"/>
        </w:rPr>
        <w:t>-start dla wszystkich mocy silników pomp. Wszelkie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instalacje elektryczne powinny być zaprojektowane zgodnie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obowiązującymi normami PN. W przypadku obiektu kubaturowego wewnętrzne instalacje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oświetlenia, ogrzewania oraz wentylacji również powinny być zgodne</w:t>
      </w:r>
      <w:r w:rsidR="00FD4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normami PN.</w:t>
      </w:r>
    </w:p>
    <w:p w:rsidR="007D6CE1" w:rsidRPr="00A77D0F" w:rsidRDefault="007D6CE1" w:rsidP="00A7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6CE1" w:rsidRDefault="007D6CE1" w:rsidP="00A77D0F">
      <w:pPr>
        <w:pStyle w:val="Standard"/>
        <w:numPr>
          <w:ilvl w:val="0"/>
          <w:numId w:val="3"/>
        </w:numPr>
        <w:ind w:left="0" w:firstLine="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A77D0F">
        <w:rPr>
          <w:rFonts w:ascii="Calibri" w:eastAsia="Times New Roman" w:hAnsi="Calibri" w:cs="Calibri"/>
          <w:b/>
          <w:bCs/>
          <w:sz w:val="22"/>
          <w:szCs w:val="22"/>
        </w:rPr>
        <w:t>Część elektryczna.</w:t>
      </w:r>
    </w:p>
    <w:p w:rsidR="00A77D0F" w:rsidRPr="00A77D0F" w:rsidRDefault="00A77D0F" w:rsidP="00A77D0F">
      <w:pPr>
        <w:pStyle w:val="Standard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7D6CE1" w:rsidRPr="00A77D0F" w:rsidRDefault="00834C20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  <w:tab w:val="num" w:pos="144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W torze</w:t>
      </w:r>
      <w:r w:rsidR="007D6CE1" w:rsidRPr="00A77D0F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zasilania głównego </w:t>
      </w:r>
      <w:r w:rsidR="007D6CE1" w:rsidRPr="00A77D0F">
        <w:rPr>
          <w:rFonts w:ascii="Calibri" w:eastAsia="Times New Roman" w:hAnsi="Calibri" w:cs="Calibri"/>
          <w:bCs/>
          <w:sz w:val="22"/>
          <w:szCs w:val="22"/>
        </w:rPr>
        <w:t>należy zabudować analizator parametrów sieci, w razie konieczności pomiar prądu należy realizować poprzez przekładniki prądowe. Przekładniki prądowe muszę pochodzić od tego samego producenta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co analizator</w:t>
      </w:r>
      <w:r w:rsidR="007D6CE1" w:rsidRPr="00A77D0F">
        <w:rPr>
          <w:rFonts w:ascii="Calibri" w:eastAsia="Times New Roman" w:hAnsi="Calibri" w:cs="Calibri"/>
          <w:bCs/>
          <w:sz w:val="22"/>
          <w:szCs w:val="22"/>
        </w:rPr>
        <w:t>. Dokładność pomiar prądu kl. min 0,</w:t>
      </w:r>
      <w:r>
        <w:rPr>
          <w:rFonts w:ascii="Calibri" w:eastAsia="Times New Roman" w:hAnsi="Calibri" w:cs="Calibri"/>
          <w:bCs/>
          <w:sz w:val="22"/>
          <w:szCs w:val="22"/>
        </w:rPr>
        <w:t>2</w:t>
      </w:r>
      <w:r w:rsidR="007D6CE1" w:rsidRPr="00A77D0F">
        <w:rPr>
          <w:rFonts w:ascii="Calibri" w:eastAsia="Times New Roman" w:hAnsi="Calibri" w:cs="Calibri"/>
          <w:bCs/>
          <w:sz w:val="22"/>
          <w:szCs w:val="22"/>
        </w:rPr>
        <w:t xml:space="preserve">, pomiar energii czynnej kl. Min 0,5. Minimalna funkcjonalność (pomiar napięć, prądów mocy czynnej, biernej, pozornej, współczynnik mocy, harmoniczne prądu, napięcia). Analizator musi posiadać wyświetlacz oraz moduł komunikacyjny RS485 </w:t>
      </w:r>
      <w:proofErr w:type="spellStart"/>
      <w:r w:rsidR="007D6CE1" w:rsidRPr="00A77D0F">
        <w:rPr>
          <w:rFonts w:ascii="Calibri" w:eastAsia="Times New Roman" w:hAnsi="Calibri" w:cs="Calibri"/>
          <w:bCs/>
          <w:sz w:val="22"/>
          <w:szCs w:val="22"/>
        </w:rPr>
        <w:t>Modbus</w:t>
      </w:r>
      <w:proofErr w:type="spellEnd"/>
      <w:r w:rsidR="00A77D0F" w:rsidRPr="00A77D0F">
        <w:rPr>
          <w:rFonts w:ascii="Calibri" w:eastAsia="Times New Roman" w:hAnsi="Calibri" w:cs="Calibri"/>
          <w:bCs/>
          <w:sz w:val="22"/>
          <w:szCs w:val="22"/>
        </w:rPr>
        <w:t xml:space="preserve"> do komunikacji ze sterownikiem lub modułem telemetrycznym</w:t>
      </w:r>
      <w:r w:rsidR="007D6CE1" w:rsidRPr="00A77D0F">
        <w:rPr>
          <w:rFonts w:ascii="Calibri" w:eastAsia="Times New Roman" w:hAnsi="Calibri" w:cs="Calibri"/>
          <w:bCs/>
          <w:sz w:val="22"/>
          <w:szCs w:val="22"/>
        </w:rPr>
        <w:t>.</w:t>
      </w:r>
    </w:p>
    <w:p w:rsidR="007D6CE1" w:rsidRPr="00A77D0F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  <w:tab w:val="num" w:pos="144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>Na zasilaniu należy zabudować rozłącznik główny (I-0-II).</w:t>
      </w:r>
    </w:p>
    <w:p w:rsidR="007D6CE1" w:rsidRPr="00A77D0F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  <w:tab w:val="num" w:pos="144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 xml:space="preserve">Na ścianie bocznej szafy zasilająco sterowniczej należy zabudować gniazdo 3f umożliwiające podłączenie agregatu przewoźnego. Gniazdo musi być zabezpieczone przed dostępem osób postronnych.   </w:t>
      </w:r>
    </w:p>
    <w:p w:rsidR="007D6CE1" w:rsidRPr="00A77D0F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  <w:tab w:val="num" w:pos="144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>W szafie należy zabudować gniazdo serwisowe 230V, 16A.</w:t>
      </w:r>
    </w:p>
    <w:p w:rsidR="007D6CE1" w:rsidRPr="00A77D0F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  <w:tab w:val="num" w:pos="144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 xml:space="preserve">W szafie należy zabudować ochronniki przepięciowe typ I+II z sygnalizacją optyczną zadziałania oraz stykiem sygnalizacji zadziałania. Zadziałanie ochronnika należy monitorować w systemie </w:t>
      </w:r>
      <w:proofErr w:type="spellStart"/>
      <w:r w:rsidRPr="00A77D0F">
        <w:rPr>
          <w:rFonts w:ascii="Calibri" w:eastAsia="Times New Roman" w:hAnsi="Calibri" w:cs="Calibri"/>
          <w:bCs/>
          <w:sz w:val="22"/>
          <w:szCs w:val="22"/>
        </w:rPr>
        <w:t>AKPiA</w:t>
      </w:r>
      <w:proofErr w:type="spellEnd"/>
      <w:r w:rsidRPr="00A77D0F">
        <w:rPr>
          <w:rFonts w:ascii="Calibri" w:eastAsia="Times New Roman" w:hAnsi="Calibri" w:cs="Calibri"/>
          <w:bCs/>
          <w:sz w:val="22"/>
          <w:szCs w:val="22"/>
        </w:rPr>
        <w:t>.</w:t>
      </w:r>
    </w:p>
    <w:p w:rsidR="007D6CE1" w:rsidRPr="00A77D0F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  <w:tab w:val="num" w:pos="144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>Silniki pompy muszą posiadać zabezpieczenia termiczne i wilgotnościowe wpięte do układu sterowania,</w:t>
      </w:r>
    </w:p>
    <w:p w:rsidR="007D6CE1" w:rsidRPr="00A77D0F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>Instalacje elektryczne powinny być wykonane zgodnie z obowiązującymi PN,</w:t>
      </w:r>
    </w:p>
    <w:p w:rsidR="007D6CE1" w:rsidRDefault="007D6CE1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77D0F">
        <w:rPr>
          <w:rFonts w:ascii="Calibri" w:eastAsia="Times New Roman" w:hAnsi="Calibri" w:cs="Calibri"/>
          <w:bCs/>
          <w:sz w:val="22"/>
          <w:szCs w:val="22"/>
        </w:rPr>
        <w:t>Obiekt powinien mieć wewnętrzne instalacje oświetlenia, ogrzewania, wentylacji zgodnie z PN.</w:t>
      </w:r>
    </w:p>
    <w:p w:rsidR="00834C20" w:rsidRDefault="00834C20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 xml:space="preserve">Szafki zasilająco sterownicze (stojące na zewnątrz) muszą być wykonane ze stali nierdzewnej lub materiału termoutwardzalnego. Drzwi zamykane na zamek patentowy. </w:t>
      </w:r>
    </w:p>
    <w:p w:rsidR="00DD4C77" w:rsidRDefault="00834C20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 xml:space="preserve">Dla pomp o mocy znamionowej powyżej 5kW należy stosować </w:t>
      </w:r>
      <w:proofErr w:type="spellStart"/>
      <w:r>
        <w:rPr>
          <w:rFonts w:ascii="Calibri" w:eastAsia="Times New Roman" w:hAnsi="Calibri" w:cs="Calibri"/>
          <w:bCs/>
          <w:sz w:val="22"/>
          <w:szCs w:val="22"/>
        </w:rPr>
        <w:t>softstartery</w:t>
      </w:r>
      <w:proofErr w:type="spellEnd"/>
      <w:r>
        <w:rPr>
          <w:rFonts w:ascii="Calibri" w:eastAsia="Times New Roman" w:hAnsi="Calibri" w:cs="Calibri"/>
          <w:bCs/>
          <w:sz w:val="22"/>
          <w:szCs w:val="22"/>
        </w:rPr>
        <w:t xml:space="preserve">.  </w:t>
      </w:r>
    </w:p>
    <w:p w:rsidR="00DD4C77" w:rsidRDefault="00DD4C77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Kable zasilające i sterownicze wprowadzane do szafy zasilająco należy wprowadzać na listwy zaciskowe</w:t>
      </w:r>
    </w:p>
    <w:p w:rsidR="00834C20" w:rsidRPr="00A77D0F" w:rsidRDefault="00DD4C77" w:rsidP="00A77D0F">
      <w:pPr>
        <w:pStyle w:val="Standard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 xml:space="preserve">Przyłącze z energetyki zawodowej musi umożliwiać pracę dwóch pomp równocześnie.   </w:t>
      </w:r>
      <w:r w:rsidR="00834C20">
        <w:rPr>
          <w:rFonts w:ascii="Calibri" w:eastAsia="Times New Roman" w:hAnsi="Calibri" w:cs="Calibri"/>
          <w:bCs/>
          <w:sz w:val="22"/>
          <w:szCs w:val="22"/>
        </w:rPr>
        <w:t xml:space="preserve"> </w:t>
      </w:r>
    </w:p>
    <w:p w:rsidR="007D6CE1" w:rsidRPr="00A77D0F" w:rsidRDefault="007D6CE1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Pr="00A77D0F" w:rsidRDefault="00725AFB" w:rsidP="00A77D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7D0F">
        <w:rPr>
          <w:rFonts w:ascii="Times New Roman" w:hAnsi="Times New Roman" w:cs="Times New Roman"/>
          <w:b/>
        </w:rPr>
        <w:t>Automatyka i monitoring</w:t>
      </w:r>
    </w:p>
    <w:p w:rsidR="002F5F8B" w:rsidRDefault="002F5F8B" w:rsidP="002F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Oprogramowanie sterownika powinno posiadać licencję</w:t>
      </w:r>
      <w:r w:rsidR="002D36CE">
        <w:rPr>
          <w:rFonts w:ascii="Times New Roman" w:hAnsi="Times New Roman" w:cs="Times New Roman"/>
        </w:rPr>
        <w:t xml:space="preserve"> typu „open”</w:t>
      </w:r>
      <w:r w:rsidR="00725AFB">
        <w:rPr>
          <w:rFonts w:ascii="Times New Roman" w:hAnsi="Times New Roman" w:cs="Times New Roman"/>
        </w:rPr>
        <w:t>. Musi ono umożliwiać zmianę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parametrów istotnych dla pracy obiektu przez pracowników automatyki Wydziału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Utrzymania Ruchu Wodociągów bez ponoszenia dodatkowych kosztów na sprzęt,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oprogramowanie i przeszkolenie w zakresie ich używania. Zastosowany sterownik pomp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musi zapewniać: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możliwość swobodnego programowania, zadawania przez użytkownika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poziomów załączania i wyłączania,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naprzemienną pracę pomp oraz automatyczne załączanie pompy rezerwowej w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przypadku awarii pompy podstawowej,</w:t>
      </w:r>
    </w:p>
    <w:p w:rsidR="007D6CE1" w:rsidRPr="00877EC8" w:rsidRDefault="00725AFB" w:rsidP="0087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D6CE1" w:rsidRPr="00877EC8">
        <w:rPr>
          <w:rFonts w:ascii="Times New Roman" w:hAnsi="Times New Roman" w:cs="Times New Roman"/>
        </w:rPr>
        <w:t xml:space="preserve">możliwość załączenia dwóch pomp jednocześnie przy poziomie awaryjnym pompowni jeśli jest zapewniona moc przyłączeniowa, </w:t>
      </w:r>
    </w:p>
    <w:p w:rsidR="00725AFB" w:rsidRDefault="007D6CE1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725AFB">
        <w:rPr>
          <w:rFonts w:ascii="Times New Roman" w:hAnsi="Times New Roman" w:cs="Times New Roman"/>
        </w:rPr>
        <w:t>obsługę przetwornicy kroczącej, jeśli jest projektowana,</w:t>
      </w:r>
    </w:p>
    <w:p w:rsidR="00725AFB" w:rsidRDefault="007D6CE1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D36CE">
        <w:rPr>
          <w:rFonts w:ascii="Times New Roman" w:hAnsi="Times New Roman" w:cs="Times New Roman"/>
        </w:rPr>
        <w:t>) zliczanie</w:t>
      </w:r>
      <w:r w:rsidR="00725AFB">
        <w:rPr>
          <w:rFonts w:ascii="Times New Roman" w:hAnsi="Times New Roman" w:cs="Times New Roman"/>
        </w:rPr>
        <w:t xml:space="preserve"> czasu pracy </w:t>
      </w:r>
      <w:r w:rsidR="002D36CE">
        <w:rPr>
          <w:rFonts w:ascii="Times New Roman" w:hAnsi="Times New Roman" w:cs="Times New Roman"/>
        </w:rPr>
        <w:t>każdej z pom</w:t>
      </w:r>
      <w:r w:rsidR="00725AFB">
        <w:rPr>
          <w:rFonts w:ascii="Times New Roman" w:hAnsi="Times New Roman" w:cs="Times New Roman"/>
        </w:rPr>
        <w:t>,</w:t>
      </w:r>
    </w:p>
    <w:p w:rsidR="00725AFB" w:rsidRDefault="007D6CE1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25AFB">
        <w:rPr>
          <w:rFonts w:ascii="Times New Roman" w:hAnsi="Times New Roman" w:cs="Times New Roman"/>
        </w:rPr>
        <w:t xml:space="preserve">) blokowanie pracy przy poziomie </w:t>
      </w:r>
      <w:proofErr w:type="spellStart"/>
      <w:r w:rsidR="00725AFB">
        <w:rPr>
          <w:rFonts w:ascii="Times New Roman" w:hAnsi="Times New Roman" w:cs="Times New Roman"/>
        </w:rPr>
        <w:t>suchobiegu</w:t>
      </w:r>
      <w:proofErr w:type="spellEnd"/>
      <w:r w:rsidR="002D36CE">
        <w:rPr>
          <w:rFonts w:ascii="Times New Roman" w:hAnsi="Times New Roman" w:cs="Times New Roman"/>
        </w:rPr>
        <w:t>, również elektrycznie</w:t>
      </w:r>
      <w:r w:rsidR="00725AFB">
        <w:rPr>
          <w:rFonts w:ascii="Times New Roman" w:hAnsi="Times New Roman" w:cs="Times New Roman"/>
        </w:rPr>
        <w:t>,</w:t>
      </w:r>
    </w:p>
    <w:p w:rsidR="00725AFB" w:rsidRDefault="007D6CE1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25AFB">
        <w:rPr>
          <w:rFonts w:ascii="Times New Roman" w:hAnsi="Times New Roman" w:cs="Times New Roman"/>
        </w:rPr>
        <w:t>) komunikację ze sterownikiem monitoringu w zakresie przekazu parametrów i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stanu urządzeń,</w:t>
      </w:r>
    </w:p>
    <w:p w:rsidR="00725AFB" w:rsidRDefault="007D6CE1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25AFB">
        <w:rPr>
          <w:rFonts w:ascii="Times New Roman" w:hAnsi="Times New Roman" w:cs="Times New Roman"/>
        </w:rPr>
        <w:t>) lokalną wizualizację p</w:t>
      </w:r>
      <w:r w:rsidR="002D36CE">
        <w:rPr>
          <w:rFonts w:ascii="Times New Roman" w:hAnsi="Times New Roman" w:cs="Times New Roman"/>
        </w:rPr>
        <w:t>arametrów pomiarowyc</w:t>
      </w:r>
      <w:r w:rsidR="009A1682">
        <w:rPr>
          <w:rFonts w:ascii="Times New Roman" w:hAnsi="Times New Roman" w:cs="Times New Roman"/>
        </w:rPr>
        <w:t>h i alarmów,</w:t>
      </w:r>
    </w:p>
    <w:p w:rsidR="00877EC8" w:rsidRDefault="00877EC8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Dla sygnałów analogowych z urządzeń pomiarowych wymagany jest standard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dwuprzewodowy </w:t>
      </w:r>
      <w:r w:rsidR="00725AFB">
        <w:rPr>
          <w:rFonts w:ascii="Times New Roman" w:hAnsi="Times New Roman" w:cs="Times New Roman"/>
        </w:rPr>
        <w:t xml:space="preserve">4-20mA. </w:t>
      </w: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Powinna być również zachowana izolacja galwaniczna między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obwodem pomiarowym, a obwodem wejściowym sterownika. </w:t>
      </w: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Sygnały dwustanowe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wejściowe powinny być widoczne dla sterownika jako izolowany galwanicznie zestyk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zwierny. </w:t>
      </w: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 xml:space="preserve">Stan normalny jest uznawany za stan zamknięty zestyku. </w:t>
      </w: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Dla sygnałów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dwustanowych wyjściowych wymagane jest, aby poszczególne wyjścia były odseparowane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galwanicznie. </w:t>
      </w: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Wyjścia dwustanowe (sterujące) powinny być wykonane jako przekaźnikowe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dopuszczalnym obciążeniem 2A dla prądu stałego i zmiennego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o napięci 250V. </w:t>
      </w:r>
    </w:p>
    <w:p w:rsidR="00A77D0F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F">
        <w:rPr>
          <w:rFonts w:ascii="Times New Roman" w:hAnsi="Times New Roman" w:cs="Times New Roman"/>
        </w:rPr>
        <w:t>8.</w:t>
      </w:r>
      <w:r w:rsidRPr="00A77D0F">
        <w:rPr>
          <w:rFonts w:ascii="Times New Roman" w:hAnsi="Times New Roman" w:cs="Times New Roman"/>
        </w:rPr>
        <w:tab/>
      </w:r>
      <w:r w:rsidR="00725AFB" w:rsidRPr="00A77D0F">
        <w:rPr>
          <w:rFonts w:ascii="Times New Roman" w:hAnsi="Times New Roman" w:cs="Times New Roman"/>
        </w:rPr>
        <w:t>Realizowane pomiary procesowe należy wprowadzić na listwę</w:t>
      </w:r>
      <w:r w:rsidR="00F80D9C" w:rsidRPr="00A77D0F">
        <w:rPr>
          <w:rFonts w:ascii="Times New Roman" w:hAnsi="Times New Roman" w:cs="Times New Roman"/>
        </w:rPr>
        <w:t xml:space="preserve"> </w:t>
      </w:r>
      <w:proofErr w:type="spellStart"/>
      <w:r w:rsidR="00725AFB" w:rsidRPr="00A77D0F">
        <w:rPr>
          <w:rFonts w:ascii="Times New Roman" w:hAnsi="Times New Roman" w:cs="Times New Roman"/>
        </w:rPr>
        <w:t>bezpotencjałową</w:t>
      </w:r>
      <w:proofErr w:type="spellEnd"/>
      <w:r w:rsidR="00725AFB" w:rsidRPr="00A77D0F">
        <w:rPr>
          <w:rFonts w:ascii="Times New Roman" w:hAnsi="Times New Roman" w:cs="Times New Roman"/>
        </w:rPr>
        <w:t xml:space="preserve">, a następnie do sterownika obiektowego. </w:t>
      </w:r>
      <w:r w:rsidR="00725AFB">
        <w:rPr>
          <w:rFonts w:ascii="Times New Roman" w:hAnsi="Times New Roman" w:cs="Times New Roman"/>
        </w:rPr>
        <w:t>Sterownik w sposób jednoznaczny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powinien uwidoczniać lokalne stany wejść i wyjść dwustanowych. </w:t>
      </w:r>
    </w:p>
    <w:p w:rsidR="002D36CE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="00A87B87">
        <w:rPr>
          <w:rFonts w:ascii="Times New Roman" w:hAnsi="Times New Roman" w:cs="Times New Roman"/>
        </w:rPr>
        <w:t>Projektowany p</w:t>
      </w:r>
      <w:r w:rsidR="00725AFB">
        <w:rPr>
          <w:rFonts w:ascii="Times New Roman" w:hAnsi="Times New Roman" w:cs="Times New Roman"/>
        </w:rPr>
        <w:t>anel operatorski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współpracujący ze sterownikiem powinien być wyposażony w minimum jeden port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komunikacyjny (wykorzystywany do połączenia panelu z PLC) i mieć możliwość zabudowy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na elewacji zewnętrznej szafy sterowniczej. Rozmiar ekranu panelu powinien zawierać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minimum dwie linie po 16 znaków każda. Oprogramowanie panelu operatorskiego powinno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umożliwiać podgląd podstawowych parametrów pracy pompowni (pomiary wielkości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analogowych mierzonych na obiekcie, stany pracy pomp, poziomy alarmowe do transmisji w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czasie rzeczywistym, stany awaryjne układu, liczniki czasu pracy pomp itp.). </w:t>
      </w:r>
    </w:p>
    <w:p w:rsidR="00C35824" w:rsidRDefault="00C35824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23CB" w:rsidRPr="00F60D87" w:rsidRDefault="00725AFB" w:rsidP="00F60D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D87">
        <w:rPr>
          <w:rFonts w:ascii="Times New Roman" w:hAnsi="Times New Roman" w:cs="Times New Roman"/>
          <w:b/>
        </w:rPr>
        <w:t>Układ</w:t>
      </w:r>
      <w:r w:rsidR="002D36CE" w:rsidRPr="00F60D87">
        <w:rPr>
          <w:rFonts w:ascii="Times New Roman" w:hAnsi="Times New Roman" w:cs="Times New Roman"/>
          <w:b/>
        </w:rPr>
        <w:t xml:space="preserve"> </w:t>
      </w:r>
      <w:r w:rsidRPr="00F60D87">
        <w:rPr>
          <w:rFonts w:ascii="Times New Roman" w:hAnsi="Times New Roman" w:cs="Times New Roman"/>
          <w:b/>
        </w:rPr>
        <w:t>sterowania powinien umożliwiać:</w:t>
      </w:r>
    </w:p>
    <w:p w:rsidR="00F60D87" w:rsidRPr="00F60D87" w:rsidRDefault="00F60D87" w:rsidP="00F60D87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sterowanie pomp (automatyczne, </w:t>
      </w:r>
      <w:proofErr w:type="spellStart"/>
      <w:r>
        <w:rPr>
          <w:rFonts w:ascii="Times New Roman" w:hAnsi="Times New Roman" w:cs="Times New Roman"/>
        </w:rPr>
        <w:t>lokalne-ręczne</w:t>
      </w:r>
      <w:proofErr w:type="spellEnd"/>
      <w:r>
        <w:rPr>
          <w:rFonts w:ascii="Times New Roman" w:hAnsi="Times New Roman" w:cs="Times New Roman"/>
        </w:rPr>
        <w:t xml:space="preserve"> bez udziału sterownika, zdalne z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dyspozytorni),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automatyczne uruchamianie agregatu prądotwórczego stacjonarnego, jeśli jest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projektowany,</w:t>
      </w:r>
    </w:p>
    <w:p w:rsidR="00F80D9C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cykliczną zamianę pracujących pomp w celu ich równomiernej eksploatacji,</w:t>
      </w:r>
      <w:r w:rsidR="00F80D9C">
        <w:rPr>
          <w:rFonts w:ascii="Times New Roman" w:hAnsi="Times New Roman" w:cs="Times New Roman"/>
        </w:rPr>
        <w:t xml:space="preserve"> 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dla przepompowni ścieków, które pracują samodzielnie w przypadku uszkodzenia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sterownika nadzorującego pracę pomp</w:t>
      </w:r>
      <w:r w:rsidR="002D36CE">
        <w:rPr>
          <w:rFonts w:ascii="Times New Roman" w:hAnsi="Times New Roman" w:cs="Times New Roman"/>
        </w:rPr>
        <w:t xml:space="preserve"> i/lub sondy hydrostatycznej</w:t>
      </w:r>
      <w:r>
        <w:rPr>
          <w:rFonts w:ascii="Times New Roman" w:hAnsi="Times New Roman" w:cs="Times New Roman"/>
        </w:rPr>
        <w:t>, sterowanie zostaje przejęte przez zaprojektowany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układ pływakowych regulatorów poziomu,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w trybie ręcznym, pompy załączane są poprzez przełączniki na drzwiach szafy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technologicznej, tryb ten jest trybem awaryjnym, więc powinien on działać niezależnie od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stanu sterownika nadzorującego pracę automatyczną,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pomiary (prądów dla silników powyżej 10kW, napięcia zasilającego, ciśnień na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tłoczeniu i ssaniu – jeśli występują, natężenie przepływu wody</w:t>
      </w:r>
      <w:r w:rsidR="00C35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sumy przepływu dla przepompowni wody, natężenie przepływu i sumy przepływu dla</w:t>
      </w:r>
      <w:r w:rsidR="00C35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przepompowni ścieków o wydajności powyżej 30m</w:t>
      </w:r>
      <w:r>
        <w:rPr>
          <w:rFonts w:ascii="Times New Roman" w:hAnsi="Times New Roman" w:cs="Times New Roman"/>
          <w:sz w:val="14"/>
          <w:szCs w:val="14"/>
        </w:rPr>
        <w:t>3</w:t>
      </w:r>
      <w:r>
        <w:rPr>
          <w:rFonts w:ascii="Times New Roman" w:hAnsi="Times New Roman" w:cs="Times New Roman"/>
        </w:rPr>
        <w:t>/h, poziomów medium w zbiornikach –</w:t>
      </w:r>
      <w:r w:rsidR="00C35824">
        <w:rPr>
          <w:rFonts w:ascii="Times New Roman" w:hAnsi="Times New Roman" w:cs="Times New Roman"/>
        </w:rPr>
        <w:t xml:space="preserve"> jeżeli występują, czasu pracy pomp, w przypadku pompowni wody również temperatury w pomieszczaniu,</w:t>
      </w:r>
    </w:p>
    <w:p w:rsidR="00C35824" w:rsidRDefault="00C35824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Pr="00F60D87" w:rsidRDefault="00725AFB" w:rsidP="00F60D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F60D87">
        <w:rPr>
          <w:rFonts w:ascii="Times New Roman" w:hAnsi="Times New Roman" w:cs="Times New Roman"/>
          <w:b/>
        </w:rPr>
        <w:t>Lokalna wizualizacja i sterowanie powinna zawierać:</w:t>
      </w:r>
    </w:p>
    <w:p w:rsidR="00A77D0F" w:rsidRPr="00C35824" w:rsidRDefault="00A77D0F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wybór trybu pracy przepompowni (automatycznie, zero</w:t>
      </w:r>
      <w:r w:rsidR="00C358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ręcznie),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załączenie poszczególnych pomp w pracy ręcznej,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zasilanie podstawowe/awaryjne,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załączenie grzejników z pominięciem układu regulacji temperatury,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sygnalizacja trybu pracy przepompowni,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sygnalizacja pracy pompy lub zestawu pompowego,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sygnalizacja awarii poszczególnych pomp lub zestawu pompowego,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sygnalizacja dyskretnych poziomów medium w przepompowni (jeśli są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wykorzystywane w procesie),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odczyt napięcia zasilania szafy sterowniczej,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odczyt analogowego poziomu ścieków w przepompowni,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odczyt wartości prądu pobieranego przez poszczególne pompy,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l) odczyt przepływu bieżącego medium oraz </w:t>
      </w:r>
      <w:r w:rsidR="009A1682">
        <w:rPr>
          <w:rFonts w:ascii="Times New Roman" w:hAnsi="Times New Roman" w:cs="Times New Roman"/>
        </w:rPr>
        <w:t xml:space="preserve">edytowanego </w:t>
      </w:r>
      <w:r>
        <w:rPr>
          <w:rFonts w:ascii="Times New Roman" w:hAnsi="Times New Roman" w:cs="Times New Roman"/>
        </w:rPr>
        <w:t>przepływu sumarycznego,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odczyt temperatury w pomieszczeniu technologicznym i sterownika,</w:t>
      </w:r>
    </w:p>
    <w:p w:rsidR="009A1682" w:rsidRPr="003227E6" w:rsidRDefault="009A1682" w:rsidP="009A1682">
      <w:pPr>
        <w:pStyle w:val="Standard"/>
        <w:ind w:firstLine="708"/>
        <w:jc w:val="both"/>
        <w:rPr>
          <w:rFonts w:ascii="Calibri" w:eastAsia="Times New Roman" w:hAnsi="Calibri" w:cs="Calibri"/>
          <w:kern w:val="1"/>
          <w:sz w:val="22"/>
          <w:szCs w:val="22"/>
        </w:rPr>
      </w:pPr>
      <w:r>
        <w:rPr>
          <w:rFonts w:ascii="Calibri" w:eastAsia="Times New Roman" w:hAnsi="Calibri" w:cs="Calibri"/>
          <w:kern w:val="1"/>
          <w:sz w:val="22"/>
          <w:szCs w:val="22"/>
        </w:rPr>
        <w:t xml:space="preserve">n) </w:t>
      </w:r>
      <w:r w:rsidRPr="003227E6">
        <w:rPr>
          <w:rFonts w:ascii="Calibri" w:eastAsia="Times New Roman" w:hAnsi="Calibri" w:cs="Calibri"/>
          <w:kern w:val="1"/>
          <w:sz w:val="22"/>
          <w:szCs w:val="22"/>
        </w:rPr>
        <w:t>odczyt i edycja licznika czasu pracy poszczególnych pomp;</w:t>
      </w:r>
    </w:p>
    <w:p w:rsidR="009A1682" w:rsidRPr="003227E6" w:rsidRDefault="009A1682" w:rsidP="009A1682">
      <w:pPr>
        <w:pStyle w:val="Standard"/>
        <w:ind w:left="360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ab/>
        <w:t xml:space="preserve">o) </w:t>
      </w:r>
      <w:r w:rsidRPr="003227E6">
        <w:rPr>
          <w:rFonts w:ascii="Calibri" w:eastAsia="Times New Roman" w:hAnsi="Calibri" w:cs="Calibri"/>
          <w:bCs/>
          <w:sz w:val="22"/>
          <w:szCs w:val="22"/>
        </w:rPr>
        <w:t>uruchomienia agregatu prądotwórczego,</w:t>
      </w:r>
    </w:p>
    <w:p w:rsidR="00725AFB" w:rsidRDefault="009A1682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AFB">
        <w:rPr>
          <w:rFonts w:ascii="Times New Roman" w:hAnsi="Times New Roman" w:cs="Times New Roman"/>
        </w:rPr>
        <w:t>) odczyt ciśnień na rurociągu ssawnym i tłocznym</w:t>
      </w:r>
      <w:r>
        <w:rPr>
          <w:rFonts w:ascii="Times New Roman" w:hAnsi="Times New Roman" w:cs="Times New Roman"/>
        </w:rPr>
        <w:t xml:space="preserve"> (pompownia wody)</w:t>
      </w:r>
      <w:r w:rsidR="00725AFB">
        <w:rPr>
          <w:rFonts w:ascii="Times New Roman" w:hAnsi="Times New Roman" w:cs="Times New Roman"/>
        </w:rPr>
        <w:t>.</w:t>
      </w:r>
    </w:p>
    <w:p w:rsidR="00D3763D" w:rsidRDefault="00D3763D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3763D" w:rsidRDefault="00725AFB" w:rsidP="00996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Przepompowani</w:t>
      </w:r>
      <w:r w:rsidR="00D3763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musi posiadać zewnętrzny optyczny lokalny układ sygnalizacji awarii. W</w:t>
      </w:r>
      <w:r w:rsidR="00F80D9C">
        <w:rPr>
          <w:rFonts w:ascii="Times New Roman" w:hAnsi="Times New Roman" w:cs="Times New Roman"/>
        </w:rPr>
        <w:t xml:space="preserve"> </w:t>
      </w:r>
      <w:r w:rsidR="00D3763D">
        <w:rPr>
          <w:rFonts w:ascii="Times New Roman" w:hAnsi="Times New Roman" w:cs="Times New Roman"/>
        </w:rPr>
        <w:t>przypadku braku zasilania, po</w:t>
      </w:r>
      <w:r>
        <w:rPr>
          <w:rFonts w:ascii="Times New Roman" w:hAnsi="Times New Roman" w:cs="Times New Roman"/>
        </w:rPr>
        <w:t xml:space="preserve"> jego powrocie sterownik powinien samoczynnie podjąć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normalną pracę w zakresie obsługi urządzeń obiektowych i transmisji danych. Sterownik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musi zapewnić podtrzymanie zapisanego w pamięci programu pracy i danych (przy</w:t>
      </w:r>
      <w:r w:rsidR="00F80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całkowitym braku zasilan</w:t>
      </w:r>
      <w:r w:rsidR="00D3763D">
        <w:rPr>
          <w:rFonts w:ascii="Times New Roman" w:hAnsi="Times New Roman" w:cs="Times New Roman"/>
        </w:rPr>
        <w:t xml:space="preserve">ia zewnętrznego) przez okres co </w:t>
      </w:r>
      <w:r>
        <w:rPr>
          <w:rFonts w:ascii="Times New Roman" w:hAnsi="Times New Roman" w:cs="Times New Roman"/>
        </w:rPr>
        <w:t xml:space="preserve">najmniej 30 dni. </w:t>
      </w:r>
    </w:p>
    <w:p w:rsidR="00D3763D" w:rsidRDefault="00D3763D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Pr="0099660C" w:rsidRDefault="00725AFB" w:rsidP="009966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660C">
        <w:rPr>
          <w:rFonts w:ascii="Times New Roman" w:hAnsi="Times New Roman" w:cs="Times New Roman"/>
          <w:b/>
        </w:rPr>
        <w:t>W celu zdalnego</w:t>
      </w:r>
      <w:r w:rsidR="00D3763D" w:rsidRPr="0099660C">
        <w:rPr>
          <w:rFonts w:ascii="Times New Roman" w:hAnsi="Times New Roman" w:cs="Times New Roman"/>
          <w:b/>
        </w:rPr>
        <w:t xml:space="preserve"> </w:t>
      </w:r>
      <w:r w:rsidRPr="0099660C">
        <w:rPr>
          <w:rFonts w:ascii="Times New Roman" w:hAnsi="Times New Roman" w:cs="Times New Roman"/>
          <w:b/>
        </w:rPr>
        <w:t>nadzorowania przepompowni powinien być zapewniony przekaz informacji do</w:t>
      </w:r>
      <w:r w:rsidR="00F80D9C" w:rsidRPr="0099660C">
        <w:rPr>
          <w:rFonts w:ascii="Times New Roman" w:hAnsi="Times New Roman" w:cs="Times New Roman"/>
          <w:b/>
        </w:rPr>
        <w:t xml:space="preserve"> </w:t>
      </w:r>
      <w:r w:rsidRPr="0099660C">
        <w:rPr>
          <w:rFonts w:ascii="Times New Roman" w:hAnsi="Times New Roman" w:cs="Times New Roman"/>
          <w:b/>
        </w:rPr>
        <w:t xml:space="preserve">funkcjonującego w </w:t>
      </w:r>
      <w:proofErr w:type="spellStart"/>
      <w:r w:rsidRPr="0099660C">
        <w:rPr>
          <w:rFonts w:ascii="Times New Roman" w:hAnsi="Times New Roman" w:cs="Times New Roman"/>
          <w:b/>
        </w:rPr>
        <w:t>WPWiK</w:t>
      </w:r>
      <w:proofErr w:type="spellEnd"/>
      <w:r w:rsidRPr="0099660C">
        <w:rPr>
          <w:rFonts w:ascii="Times New Roman" w:hAnsi="Times New Roman" w:cs="Times New Roman"/>
          <w:b/>
        </w:rPr>
        <w:t xml:space="preserve"> systemu monitoringu w zakresie:</w:t>
      </w:r>
    </w:p>
    <w:p w:rsidR="00A77D0F" w:rsidRDefault="00A77D0F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braku zasilania pompowni,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uruchomienia agregatu prądotwórczego,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poziomu cieczy w zbiornikach – jeżeli występują,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ciśnień na ssaniu i tłoczeniu</w:t>
      </w:r>
      <w:r w:rsidR="00D3763D">
        <w:rPr>
          <w:rFonts w:ascii="Times New Roman" w:hAnsi="Times New Roman" w:cs="Times New Roman"/>
        </w:rPr>
        <w:t xml:space="preserve"> – jeżeli występują</w:t>
      </w:r>
      <w:r>
        <w:rPr>
          <w:rFonts w:ascii="Times New Roman" w:hAnsi="Times New Roman" w:cs="Times New Roman"/>
        </w:rPr>
        <w:t>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ilości pompowane</w:t>
      </w:r>
      <w:r w:rsidR="00D3763D">
        <w:rPr>
          <w:rFonts w:ascii="Times New Roman" w:hAnsi="Times New Roman" w:cs="Times New Roman"/>
        </w:rPr>
        <w:t xml:space="preserve">go medium </w:t>
      </w:r>
      <w:r>
        <w:rPr>
          <w:rFonts w:ascii="Times New Roman" w:hAnsi="Times New Roman" w:cs="Times New Roman"/>
        </w:rPr>
        <w:t xml:space="preserve">dla pompowni oraz </w:t>
      </w:r>
      <w:r w:rsidR="00D3763D">
        <w:rPr>
          <w:rFonts w:ascii="Times New Roman" w:hAnsi="Times New Roman" w:cs="Times New Roman"/>
        </w:rPr>
        <w:t>jego objętości sumarycznej,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sygnalizacji poziomu maksymalnego i minimalnego w zbiorniku i/lub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przepompowni,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stanu pracy urządzeń i stanów awaryjnych w tym również sygnalizację </w:t>
      </w:r>
      <w:proofErr w:type="spellStart"/>
      <w:r>
        <w:rPr>
          <w:rFonts w:ascii="Times New Roman" w:hAnsi="Times New Roman" w:cs="Times New Roman"/>
        </w:rPr>
        <w:t>suchobiegu</w:t>
      </w:r>
      <w:proofErr w:type="spellEnd"/>
      <w:r>
        <w:rPr>
          <w:rFonts w:ascii="Times New Roman" w:hAnsi="Times New Roman" w:cs="Times New Roman"/>
        </w:rPr>
        <w:t>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status stosowania urządzeń (lokalne ręczne, automatyczne, odstawione),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wejścia na teren obiektu i naruszania ciągłości ogrodzenia, otwarcia drzwi, otwarcia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pokrywy przepompowni, otwarcia szafek sterowniczych, okien itp.,</w:t>
      </w:r>
    </w:p>
    <w:p w:rsidR="00725AFB" w:rsidRDefault="00725AFB" w:rsidP="00F80D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pomiar temperatury w pomieszczeniu.</w:t>
      </w:r>
    </w:p>
    <w:p w:rsidR="0099660C" w:rsidRDefault="0099660C" w:rsidP="009A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Szafy elektryczne w przepompowni powinny mieć wzmocnioną konstrukcję, odporną na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działanie środowiska i wandali. Szafa musi być wyposażona w układy ochrony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przeciwprzepięciowej i układy podgrzewania. </w:t>
      </w:r>
    </w:p>
    <w:p w:rsidR="0099660C" w:rsidRDefault="0099660C" w:rsidP="002A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 xml:space="preserve">Do komunikacji z monitoringiem </w:t>
      </w:r>
      <w:proofErr w:type="spellStart"/>
      <w:r w:rsidR="00725AFB">
        <w:rPr>
          <w:rFonts w:ascii="Times New Roman" w:hAnsi="Times New Roman" w:cs="Times New Roman"/>
        </w:rPr>
        <w:t>WPWiK</w:t>
      </w:r>
      <w:proofErr w:type="spellEnd"/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należy stosować sterowniki swobodnie programowalne GE </w:t>
      </w:r>
      <w:proofErr w:type="spellStart"/>
      <w:r w:rsidR="00725AFB">
        <w:rPr>
          <w:rFonts w:ascii="Times New Roman" w:hAnsi="Times New Roman" w:cs="Times New Roman"/>
        </w:rPr>
        <w:t>Fanuc</w:t>
      </w:r>
      <w:proofErr w:type="spellEnd"/>
      <w:r w:rsidR="00725AFB">
        <w:rPr>
          <w:rFonts w:ascii="Times New Roman" w:hAnsi="Times New Roman" w:cs="Times New Roman"/>
        </w:rPr>
        <w:t xml:space="preserve"> oraz radiomodemy </w:t>
      </w:r>
      <w:proofErr w:type="spellStart"/>
      <w:r w:rsidR="00725AFB">
        <w:rPr>
          <w:rFonts w:ascii="Times New Roman" w:hAnsi="Times New Roman" w:cs="Times New Roman"/>
        </w:rPr>
        <w:t>Satel</w:t>
      </w:r>
      <w:proofErr w:type="spellEnd"/>
      <w:r w:rsidR="00725AFB">
        <w:rPr>
          <w:rFonts w:ascii="Times New Roman" w:hAnsi="Times New Roman" w:cs="Times New Roman"/>
        </w:rPr>
        <w:t>.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Komunikacja z obiektem przepompowni powinna odbywać się za pośrednictwem łącza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radiowego. Nowo budowane obiekty, planowane do włączenia do sieci radiowego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monitoringu musza być ujęte w Projekcie Rozbudowy tej sieci przygotowanym przez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wykonawcę, zgodnym w wymaganiami Urzędu Komunikacji Elektronicznej.</w:t>
      </w:r>
      <w:r w:rsidR="00EF58A1">
        <w:rPr>
          <w:rFonts w:ascii="Times New Roman" w:hAnsi="Times New Roman" w:cs="Times New Roman"/>
        </w:rPr>
        <w:t xml:space="preserve"> Wykonawca projektu zobowiązany jest </w:t>
      </w:r>
      <w:r w:rsidR="00725AFB">
        <w:rPr>
          <w:rFonts w:ascii="Times New Roman" w:hAnsi="Times New Roman" w:cs="Times New Roman"/>
        </w:rPr>
        <w:t>uzyskać Pozwolenie Radiowe z UKE.</w:t>
      </w:r>
      <w:r w:rsidR="009A1682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 sytuacji braku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możliwości realizacji komunikacji za pośrednictwem łącza radiowego należy stosować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komunikację GPRS przy wykorzystaniu modułów telemetrycznych </w:t>
      </w:r>
      <w:proofErr w:type="spellStart"/>
      <w:r w:rsidR="00725AFB">
        <w:rPr>
          <w:rFonts w:ascii="Times New Roman" w:hAnsi="Times New Roman" w:cs="Times New Roman"/>
        </w:rPr>
        <w:t>Inventia</w:t>
      </w:r>
      <w:proofErr w:type="spellEnd"/>
      <w:r w:rsidR="00725AFB">
        <w:rPr>
          <w:rFonts w:ascii="Times New Roman" w:hAnsi="Times New Roman" w:cs="Times New Roman"/>
        </w:rPr>
        <w:t>.</w:t>
      </w:r>
      <w:r w:rsidR="00EF58A1">
        <w:rPr>
          <w:rFonts w:ascii="Times New Roman" w:hAnsi="Times New Roman" w:cs="Times New Roman"/>
        </w:rPr>
        <w:t xml:space="preserve"> </w:t>
      </w:r>
      <w:r w:rsidR="009A1682">
        <w:rPr>
          <w:rFonts w:ascii="Times New Roman" w:hAnsi="Times New Roman" w:cs="Times New Roman"/>
        </w:rPr>
        <w:t>Każdorazowo, projektant, w przypadku wątpliwości, zobowiązany jest podjąć odpowiednie ustalenia w porozumieniu z użytko</w:t>
      </w:r>
      <w:r w:rsidR="00A77D0F">
        <w:rPr>
          <w:rFonts w:ascii="Times New Roman" w:hAnsi="Times New Roman" w:cs="Times New Roman"/>
        </w:rPr>
        <w:t>wnikiem projektowanego obiektu.</w:t>
      </w:r>
    </w:p>
    <w:p w:rsidR="00725AFB" w:rsidRDefault="0099660C" w:rsidP="002A5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Filozofia komunikacji systemu monitoringu z obiektem opiera się na cyklicznym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odpytywaniu obiektu i przesyłaniu przezeń danych z pompowni do centralnej dyspozytorni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w </w:t>
      </w:r>
      <w:r w:rsidR="00725AFB">
        <w:rPr>
          <w:rFonts w:ascii="Times New Roman" w:hAnsi="Times New Roman" w:cs="Times New Roman"/>
        </w:rPr>
        <w:lastRenderedPageBreak/>
        <w:t>Wałbrzychu. Dla zabezpieczenia obiektów przed nieuprawnionym wtargnięciem bądź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awarią konieczne jest zastosowanie wymuszonej komunikacji obiektu z przepompownią w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postaci tzw. Samoistnej komunikacji zdarzeniowej. Dyspozytor winien posiadać możliwość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zdalnego sterowania zestawem pompowym przez funkcję załącz-wyłącz. Modemy radiowe</w:t>
      </w:r>
      <w:r w:rsidR="002A572B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monitoringu winny posiadać awaryjne źródło zasilania na cza</w:t>
      </w:r>
      <w:r w:rsidR="00EF58A1">
        <w:rPr>
          <w:rFonts w:ascii="Times New Roman" w:hAnsi="Times New Roman" w:cs="Times New Roman"/>
        </w:rPr>
        <w:t>s</w:t>
      </w:r>
      <w:r w:rsidR="00725AFB">
        <w:rPr>
          <w:rFonts w:ascii="Times New Roman" w:hAnsi="Times New Roman" w:cs="Times New Roman"/>
        </w:rPr>
        <w:t xml:space="preserve"> minimum 8 godzin. Parametry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procesowe należy wizualizować i monitorować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 czasie rzeczywistym na zaprojektowanym do tego celu ekranie w posiadanym przez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eksploatatora systemie SCADA (</w:t>
      </w:r>
      <w:proofErr w:type="spellStart"/>
      <w:r w:rsidR="00725AFB">
        <w:rPr>
          <w:rFonts w:ascii="Times New Roman" w:hAnsi="Times New Roman" w:cs="Times New Roman"/>
        </w:rPr>
        <w:t>InTouch</w:t>
      </w:r>
      <w:proofErr w:type="spellEnd"/>
      <w:r w:rsidR="00725AFB">
        <w:rPr>
          <w:rFonts w:ascii="Times New Roman" w:hAnsi="Times New Roman" w:cs="Times New Roman"/>
        </w:rPr>
        <w:t>). Zaprojektowany przez wykonawcę ekran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wizualizacyjny zmodernizowanego obiektu stacji systemu monitoringu winien zachowywać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organizację tożsamą z już istniejącymi obiektami. Wizualizowane parametry powinny być</w:t>
      </w:r>
      <w:r w:rsidR="00EF58A1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archiwizowane w posiadanej przez użytkownika bazie danych (Historia), jak również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udostępniane za pośrednictwem </w:t>
      </w:r>
      <w:proofErr w:type="spellStart"/>
      <w:r w:rsidR="00EF58A1">
        <w:rPr>
          <w:rFonts w:ascii="Times New Roman" w:hAnsi="Times New Roman" w:cs="Times New Roman"/>
        </w:rPr>
        <w:t>web</w:t>
      </w:r>
      <w:r w:rsidR="00725AFB">
        <w:rPr>
          <w:rFonts w:ascii="Times New Roman" w:hAnsi="Times New Roman" w:cs="Times New Roman"/>
        </w:rPr>
        <w:t>serwera</w:t>
      </w:r>
      <w:proofErr w:type="spellEnd"/>
      <w:r w:rsidR="00725AFB">
        <w:rPr>
          <w:rFonts w:ascii="Times New Roman" w:hAnsi="Times New Roman" w:cs="Times New Roman"/>
        </w:rPr>
        <w:t xml:space="preserve"> (Information Serwer)</w:t>
      </w:r>
      <w:r w:rsidR="00EF58A1">
        <w:rPr>
          <w:rFonts w:ascii="Times New Roman" w:hAnsi="Times New Roman" w:cs="Times New Roman"/>
        </w:rPr>
        <w:t xml:space="preserve"> lub równoważne</w:t>
      </w:r>
      <w:r w:rsidR="00725AFB">
        <w:rPr>
          <w:rFonts w:ascii="Times New Roman" w:hAnsi="Times New Roman" w:cs="Times New Roman"/>
        </w:rPr>
        <w:t xml:space="preserve">. </w:t>
      </w:r>
      <w:r w:rsidR="002A572B">
        <w:rPr>
          <w:rFonts w:ascii="Times New Roman" w:hAnsi="Times New Roman" w:cs="Times New Roman"/>
        </w:rPr>
        <w:t xml:space="preserve">Serwery z </w:t>
      </w:r>
      <w:r w:rsidR="00C93AEA">
        <w:rPr>
          <w:rFonts w:ascii="Times New Roman" w:hAnsi="Times New Roman" w:cs="Times New Roman"/>
        </w:rPr>
        <w:t xml:space="preserve">oprogramowaniem systemu </w:t>
      </w:r>
      <w:r w:rsidR="00725AFB">
        <w:rPr>
          <w:rFonts w:ascii="Times New Roman" w:hAnsi="Times New Roman" w:cs="Times New Roman"/>
        </w:rPr>
        <w:t>SCADA</w:t>
      </w:r>
      <w:r w:rsidR="002A572B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zlokalizowan</w:t>
      </w:r>
      <w:r w:rsidR="00C93AEA">
        <w:rPr>
          <w:rFonts w:ascii="Times New Roman" w:hAnsi="Times New Roman" w:cs="Times New Roman"/>
        </w:rPr>
        <w:t xml:space="preserve">e </w:t>
      </w:r>
      <w:r w:rsidR="00725AFB">
        <w:rPr>
          <w:rFonts w:ascii="Times New Roman" w:hAnsi="Times New Roman" w:cs="Times New Roman"/>
        </w:rPr>
        <w:t>został</w:t>
      </w:r>
      <w:r w:rsidR="00C93AEA">
        <w:rPr>
          <w:rFonts w:ascii="Times New Roman" w:hAnsi="Times New Roman" w:cs="Times New Roman"/>
        </w:rPr>
        <w:t>y w Centralnej D</w:t>
      </w:r>
      <w:r w:rsidR="00725AFB">
        <w:rPr>
          <w:rFonts w:ascii="Times New Roman" w:hAnsi="Times New Roman" w:cs="Times New Roman"/>
        </w:rPr>
        <w:t>yspozytorni w Wałbrzychu.</w:t>
      </w:r>
    </w:p>
    <w:p w:rsidR="00EF58A1" w:rsidRDefault="00EF58A1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Pr="00F60D87" w:rsidRDefault="00725AFB" w:rsidP="00F60D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F60D87">
        <w:rPr>
          <w:rFonts w:ascii="Times New Roman" w:hAnsi="Times New Roman" w:cs="Times New Roman"/>
          <w:b/>
        </w:rPr>
        <w:t xml:space="preserve">Dokumentacja projektowa części energetycznej i </w:t>
      </w:r>
      <w:proofErr w:type="spellStart"/>
      <w:r w:rsidRPr="00F60D87">
        <w:rPr>
          <w:rFonts w:ascii="Times New Roman" w:hAnsi="Times New Roman" w:cs="Times New Roman"/>
          <w:b/>
        </w:rPr>
        <w:t>AKPiA</w:t>
      </w:r>
      <w:proofErr w:type="spellEnd"/>
    </w:p>
    <w:p w:rsidR="00A77D0F" w:rsidRPr="00EF58A1" w:rsidRDefault="00A77D0F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5AFB" w:rsidRDefault="00A77D0F" w:rsidP="00A7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Dokumentacja techniczna powinna składać się z poszczególnych części:</w:t>
      </w:r>
    </w:p>
    <w:p w:rsidR="00F60D87" w:rsidRDefault="00F60D87" w:rsidP="00A7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dotyczącej zagospodarowania terenu działki,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technologicznej,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instalacyjnej,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budowlano-konstrukcyjnej,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energetycznej,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proofErr w:type="spellStart"/>
      <w:r>
        <w:rPr>
          <w:rFonts w:ascii="Times New Roman" w:hAnsi="Times New Roman" w:cs="Times New Roman"/>
        </w:rPr>
        <w:t>AKPiA</w:t>
      </w:r>
      <w:proofErr w:type="spellEnd"/>
      <w:r>
        <w:rPr>
          <w:rFonts w:ascii="Times New Roman" w:hAnsi="Times New Roman" w:cs="Times New Roman"/>
        </w:rPr>
        <w:t>.</w:t>
      </w:r>
    </w:p>
    <w:p w:rsidR="002A572B" w:rsidRDefault="002A572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2A572B">
        <w:rPr>
          <w:rFonts w:ascii="Times New Roman" w:hAnsi="Times New Roman" w:cs="Times New Roman"/>
        </w:rPr>
        <w:t>Dokumentacja p</w:t>
      </w:r>
      <w:r w:rsidR="00725AFB">
        <w:rPr>
          <w:rFonts w:ascii="Times New Roman" w:hAnsi="Times New Roman" w:cs="Times New Roman"/>
        </w:rPr>
        <w:t>owinna również zawierać zestawienie zastosowanych materiałów i urządzeń wraz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opisem ich parametrów oraz zostać wykonana w oparciu o aktualne warunki techniczne,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dane do projektowania wydane przez Spółkę, a także uzgodnienia na podstawie mapy do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celów projektowych. Musi spełniać wymagania niniejszego dokumentu oraz przepisów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prawa i norm oraz musi być opracowana w języku polskim, a strony dokumentacji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i rysunków powinny </w:t>
      </w:r>
      <w:r w:rsidR="00F80D9C">
        <w:rPr>
          <w:rFonts w:ascii="Times New Roman" w:hAnsi="Times New Roman" w:cs="Times New Roman"/>
        </w:rPr>
        <w:t>być ponumerowane kolejnymi, nie</w:t>
      </w:r>
      <w:r w:rsidR="00725AFB">
        <w:rPr>
          <w:rFonts w:ascii="Times New Roman" w:hAnsi="Times New Roman" w:cs="Times New Roman"/>
        </w:rPr>
        <w:t>powtarzającymi się numerami.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Dokumentacja techniczna musi zostać złożona do uzgodnienia w Spółce w trzech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egzemplarzach – trw</w:t>
      </w:r>
      <w:r w:rsidR="00D009FA">
        <w:rPr>
          <w:rFonts w:ascii="Times New Roman" w:hAnsi="Times New Roman" w:cs="Times New Roman"/>
        </w:rPr>
        <w:t>al</w:t>
      </w:r>
      <w:r w:rsidR="00725AFB">
        <w:rPr>
          <w:rFonts w:ascii="Times New Roman" w:hAnsi="Times New Roman" w:cs="Times New Roman"/>
        </w:rPr>
        <w:t>e zszytych z ponumerowanymi stronami, z których jeden pozostaje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 zasobach archiwalnych Spółki.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Dokumentacja techniczna części dotyczącej zagospodarowania terenu działki,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technologiczne, instalacyjnej i budowlano konstrukcyjnej składa się z: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opisu technicznego z obliczeniami i doborem projektowanych urządzeń,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części graficznej, w którą wchodzi: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plan zagospodarowania terenu w skali 1:500,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szczegółowy szkic sytuacyjny działki przepompowni w skali 1:50 lub 1:100 z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usytuowaniem urządzeń na terenie działki, ogrodzeniem, drogą dojazdową,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placem manewrowym, kanałami, obiektami itp.,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rzuty przepompowni, komory zasuw, studzienki na dopływie itp.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 skali 1:25 lub 1:50,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przekroje przepompowni i pozostałych obiektów w tej samej skali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naniesionymi wszystkimi istotnymi informacjami np. rzędnymi poziomów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minimalnych i maksymalnych, poziomu alarmowego, poziomów załączenia i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wyłączenia pomp, rzędnymi dopływu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i odpływu, zestawieniem urządzeń itp.,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schemat technologiczny przepompowni,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projekt trasy przewodu tłocznego na planie zagospodarowania terenu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 skali 1:100 lub</w:t>
      </w:r>
      <w:r w:rsidR="00F80D9C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 1:500 w zależności od długości,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 xml:space="preserve">- </w:t>
      </w:r>
      <w:r w:rsidR="00725AFB">
        <w:rPr>
          <w:rFonts w:ascii="Times New Roman" w:hAnsi="Times New Roman" w:cs="Times New Roman"/>
        </w:rPr>
        <w:t>profile podłużne przewodu tłocznego w skali 1:500 oraz przyłącza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wodociągowego w skali 1:100,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rysunki (obiektów inżynierskich projektowanych na trasie przewodów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tłocznych takich jak np. studzienek i komór oraz istotnych dla wykonawstwa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szczegółów i detali lub kart katalogowych z opisem),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lastRenderedPageBreak/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dodatkowe szkice wynikające z potrzeb zaprojektowania przepompowni,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wymaganych załączników tj.: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kserokopia aktualnych warunków technicznych oraz danych technicznych do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projektowania, wydanych przez Spółkę i ich oryginały, zwracane inwestorowi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wraz z dokumentacją techniczną,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kserokopia protokołu z uzgodnień dotyczących tras projektowanych przyłączy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wodociągowych lub kanalizacyjnych, wraz z mapą do celów projektowanych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naniesionymi trasami projektowanych przyłączy wodociągowych lub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kanalizacyjnych dołączone do każdego egzemplarza dokumentacji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technicznej i ich oryginały, zwracane inwestorowi wraz z dokumentacją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techniczną,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dopuszcza się złożenie kserokopii mapy do celów projektowych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naniesioną trasą przyłączy wodociągowych i kanalizacyjnych bez protokołu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narady koordynacyjnej i jej oryginału zwracanego inwestorowi wraz z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dokumentacją techniczną,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uzgodnienia, opinie, pozwolenia oraz inne dokumenty i decyzje wynikające z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warunków technicznych oraz obowiązujących przepisów, wydane przez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właściwe organy oraz wynikające z protokołu z narady koordynacyjnej,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uzgodnienia z zarządcami uzbrojenia kolidującego z projektowanymi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przyłączami wodociągowymi i kanalizacyjnymi,</w:t>
      </w:r>
    </w:p>
    <w:p w:rsidR="00725AFB" w:rsidRDefault="00A77D0F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kserokopia dokumentu potwierdzającego uprawnienia projektanta oraz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zaświadczenie o jego przynależności do właściwej Izby Inżynierów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Budownictwa.</w:t>
      </w:r>
    </w:p>
    <w:p w:rsidR="00D009FA" w:rsidRDefault="00D009FA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Default="00725AFB" w:rsidP="00317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Spółka zastrzega sobie możliwość zgłoszenia projektantowi konieczności dostarczenia</w:t>
      </w:r>
      <w:r w:rsidR="00317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dodatkowych nie wymienionych w powyższym punkcie dokumentów.</w:t>
      </w:r>
    </w:p>
    <w:p w:rsidR="003170F0" w:rsidRDefault="003170F0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Default="00A77D0F" w:rsidP="00317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 xml:space="preserve">Zawartość dokumentacji technicznej części energetycznej i </w:t>
      </w:r>
      <w:proofErr w:type="spellStart"/>
      <w:r w:rsidR="00725AFB">
        <w:rPr>
          <w:rFonts w:ascii="Times New Roman" w:hAnsi="Times New Roman" w:cs="Times New Roman"/>
        </w:rPr>
        <w:t>AKPiA</w:t>
      </w:r>
      <w:proofErr w:type="spellEnd"/>
      <w:r w:rsidR="00725AFB">
        <w:rPr>
          <w:rFonts w:ascii="Times New Roman" w:hAnsi="Times New Roman" w:cs="Times New Roman"/>
        </w:rPr>
        <w:t xml:space="preserve"> przekazywana do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zaopiniowania Spółce powinna (w minimalnym stopniu) uwzględniać następujące elementy: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opis techniczny projektowanych rozwiązań,</w:t>
      </w:r>
    </w:p>
    <w:p w:rsidR="00E958D4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bilans mocy</w:t>
      </w:r>
    </w:p>
    <w:p w:rsidR="00E958D4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obliczenia techniczne</w:t>
      </w:r>
    </w:p>
    <w:p w:rsidR="00725AFB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25AFB">
        <w:rPr>
          <w:rFonts w:ascii="Times New Roman" w:hAnsi="Times New Roman" w:cs="Times New Roman"/>
        </w:rPr>
        <w:t xml:space="preserve">) listę sygnałów </w:t>
      </w:r>
      <w:proofErr w:type="spellStart"/>
      <w:r w:rsidR="00725AFB">
        <w:rPr>
          <w:rFonts w:ascii="Times New Roman" w:hAnsi="Times New Roman" w:cs="Times New Roman"/>
        </w:rPr>
        <w:t>AKPiA</w:t>
      </w:r>
      <w:proofErr w:type="spellEnd"/>
      <w:r w:rsidR="00725AFB">
        <w:rPr>
          <w:rFonts w:ascii="Times New Roman" w:hAnsi="Times New Roman" w:cs="Times New Roman"/>
        </w:rPr>
        <w:t>,</w:t>
      </w:r>
    </w:p>
    <w:p w:rsidR="00725AFB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25AFB">
        <w:rPr>
          <w:rFonts w:ascii="Times New Roman" w:hAnsi="Times New Roman" w:cs="Times New Roman"/>
        </w:rPr>
        <w:t>) specyfikację urządzeń, aparatów i materiałów,</w:t>
      </w:r>
    </w:p>
    <w:p w:rsidR="00725AFB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25AFB">
        <w:rPr>
          <w:rFonts w:ascii="Times New Roman" w:hAnsi="Times New Roman" w:cs="Times New Roman"/>
        </w:rPr>
        <w:t>) dziennik kablowy,</w:t>
      </w:r>
    </w:p>
    <w:p w:rsidR="00725AFB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25AFB">
        <w:rPr>
          <w:rFonts w:ascii="Times New Roman" w:hAnsi="Times New Roman" w:cs="Times New Roman"/>
        </w:rPr>
        <w:t>) oświadczenie projektanta i zaświadczenia o przygotowaniu zawodowym,</w:t>
      </w:r>
    </w:p>
    <w:p w:rsidR="00725AFB" w:rsidRDefault="00E958D4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bookmarkStart w:id="0" w:name="_GoBack"/>
      <w:bookmarkEnd w:id="0"/>
      <w:r w:rsidR="00725AFB">
        <w:rPr>
          <w:rFonts w:ascii="Times New Roman" w:hAnsi="Times New Roman" w:cs="Times New Roman"/>
        </w:rPr>
        <w:t>) część rysunkową,</w:t>
      </w:r>
    </w:p>
    <w:p w:rsidR="00D009FA" w:rsidRDefault="00D009FA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AFB" w:rsidRDefault="00A77D0F" w:rsidP="00317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Opis techniczny powinien zawierać szczegółowe informacje na temat przyjętych rozwiązań</w:t>
      </w:r>
      <w:r w:rsidR="003170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m.in.:</w:t>
      </w:r>
    </w:p>
    <w:p w:rsidR="003170F0" w:rsidRDefault="00725AFB" w:rsidP="00317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0F0">
        <w:rPr>
          <w:rFonts w:ascii="Times New Roman" w:hAnsi="Times New Roman" w:cs="Times New Roman"/>
        </w:rPr>
        <w:t>zasady i algorytmy sterowania instalacją/obiektem technologicznym, sposoby</w:t>
      </w:r>
      <w:r w:rsidR="003170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rozwiązań systemów transmisji danych w relacji sterownik PLC ze stacją</w:t>
      </w:r>
      <w:r w:rsidR="003170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nadrzędną oraz urządzeniami obiektowymi,</w:t>
      </w:r>
      <w:r w:rsidR="003170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b) sposób zasilania wszystkich urządzeń mieszczących się w zakresie branży</w:t>
      </w:r>
      <w:r w:rsidR="00D009FA" w:rsidRPr="003170F0">
        <w:rPr>
          <w:rFonts w:ascii="Times New Roman" w:hAnsi="Times New Roman" w:cs="Times New Roman"/>
        </w:rPr>
        <w:t xml:space="preserve"> </w:t>
      </w:r>
      <w:proofErr w:type="spellStart"/>
      <w:r w:rsidRPr="003170F0">
        <w:rPr>
          <w:rFonts w:ascii="Times New Roman" w:hAnsi="Times New Roman" w:cs="Times New Roman"/>
        </w:rPr>
        <w:t>AKPiA</w:t>
      </w:r>
      <w:proofErr w:type="spellEnd"/>
      <w:r w:rsidRPr="003170F0">
        <w:rPr>
          <w:rFonts w:ascii="Times New Roman" w:hAnsi="Times New Roman" w:cs="Times New Roman"/>
        </w:rPr>
        <w:t>,</w:t>
      </w:r>
    </w:p>
    <w:p w:rsidR="00725AFB" w:rsidRDefault="00725AFB" w:rsidP="00317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0F0">
        <w:rPr>
          <w:rFonts w:ascii="Times New Roman" w:hAnsi="Times New Roman" w:cs="Times New Roman"/>
        </w:rPr>
        <w:t>wskazówki do napisania programu sterownika, z podaniem przewidywanych</w:t>
      </w:r>
      <w:r w:rsidR="003170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technologicznie poziomów (nie rzędnych) sterowania urządzeniami oraz</w:t>
      </w:r>
      <w:r w:rsidR="002436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stosownymi zależnościami pomiędzy urządzeniami technologicznymi (np.</w:t>
      </w:r>
      <w:r w:rsidR="002436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maksymalna liczba pomp równocześnie pracujących, czy też blokada pracy pomp</w:t>
      </w:r>
      <w:r w:rsidR="002436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przy zamkniętej zasuwie na przewodzie tłocznym itp.),</w:t>
      </w:r>
    </w:p>
    <w:p w:rsidR="00725AFB" w:rsidRDefault="00725AFB" w:rsidP="002436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0F0">
        <w:rPr>
          <w:rFonts w:ascii="Times New Roman" w:hAnsi="Times New Roman" w:cs="Times New Roman"/>
        </w:rPr>
        <w:t>opis sposobu realizacji naprzemiennej pracy pomp po każdym cyklu,</w:t>
      </w:r>
      <w:r w:rsidR="002436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w celu zapewnienia równomierności czasu ich pracy,</w:t>
      </w:r>
    </w:p>
    <w:p w:rsidR="00725AFB" w:rsidRPr="003170F0" w:rsidRDefault="00725AFB" w:rsidP="002436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0F0">
        <w:rPr>
          <w:rFonts w:ascii="Times New Roman" w:hAnsi="Times New Roman" w:cs="Times New Roman"/>
        </w:rPr>
        <w:t>w przypadku opracowania dotyczącego modernizacji obiektu w opisie</w:t>
      </w:r>
      <w:r w:rsidR="002436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technicznym należy szczegółowo określić i oddzielić część nowoprojektowaną od</w:t>
      </w:r>
      <w:r w:rsidR="002436F0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istniejącej, podobnie w części rysunkowej</w:t>
      </w:r>
      <w:r w:rsidR="00D009FA" w:rsidRPr="003170F0">
        <w:rPr>
          <w:rFonts w:ascii="Times New Roman" w:hAnsi="Times New Roman" w:cs="Times New Roman"/>
        </w:rPr>
        <w:t xml:space="preserve"> </w:t>
      </w:r>
      <w:r w:rsidRPr="003170F0">
        <w:rPr>
          <w:rFonts w:ascii="Times New Roman" w:hAnsi="Times New Roman" w:cs="Times New Roman"/>
        </w:rPr>
        <w:t>i specyfikacji materiałowej.</w:t>
      </w:r>
    </w:p>
    <w:p w:rsidR="00D009FA" w:rsidRDefault="00D009FA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36F0" w:rsidRDefault="00A77D0F" w:rsidP="00973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 xml:space="preserve">Lista sygnałów </w:t>
      </w:r>
      <w:proofErr w:type="spellStart"/>
      <w:r w:rsidR="00725AFB">
        <w:rPr>
          <w:rFonts w:ascii="Times New Roman" w:hAnsi="Times New Roman" w:cs="Times New Roman"/>
        </w:rPr>
        <w:t>AKPiA</w:t>
      </w:r>
      <w:proofErr w:type="spellEnd"/>
      <w:r w:rsidR="00725AFB">
        <w:rPr>
          <w:rFonts w:ascii="Times New Roman" w:hAnsi="Times New Roman" w:cs="Times New Roman"/>
        </w:rPr>
        <w:t xml:space="preserve"> – zestawienie tabelaryczne musi zawierać takie kolumny, jak nazwa</w:t>
      </w:r>
      <w:r w:rsidR="002436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elementu/pomiaru/urządzenia, oznaczenie symboliczne dla sygnału tożsame</w:t>
      </w:r>
      <w:r w:rsidR="002436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z użytym w części </w:t>
      </w:r>
      <w:r w:rsidR="00725AFB">
        <w:rPr>
          <w:rFonts w:ascii="Times New Roman" w:hAnsi="Times New Roman" w:cs="Times New Roman"/>
        </w:rPr>
        <w:lastRenderedPageBreak/>
        <w:t>rysunkowej, opis sygnału, rodzaj (wejściowy (I), wyjściowy (O),</w:t>
      </w:r>
      <w:r w:rsidR="002436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analogowy (A), cyfrowy (D)) lub nazwa protokołu komunikacyjnego i adres sieciowy.</w:t>
      </w:r>
      <w:r w:rsidR="002436F0">
        <w:rPr>
          <w:rFonts w:ascii="Times New Roman" w:hAnsi="Times New Roman" w:cs="Times New Roman"/>
        </w:rPr>
        <w:t xml:space="preserve"> </w:t>
      </w:r>
    </w:p>
    <w:p w:rsidR="002436F0" w:rsidRDefault="002436F0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3304" w:rsidRDefault="00A77D0F" w:rsidP="00973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 xml:space="preserve">W zakresie listy sygnałów </w:t>
      </w:r>
      <w:proofErr w:type="spellStart"/>
      <w:r w:rsidR="00725AFB">
        <w:rPr>
          <w:rFonts w:ascii="Times New Roman" w:hAnsi="Times New Roman" w:cs="Times New Roman"/>
        </w:rPr>
        <w:t>AKPiA</w:t>
      </w:r>
      <w:proofErr w:type="spellEnd"/>
      <w:r w:rsidR="00725AFB">
        <w:rPr>
          <w:rFonts w:ascii="Times New Roman" w:hAnsi="Times New Roman" w:cs="Times New Roman"/>
        </w:rPr>
        <w:t xml:space="preserve"> wymaga się również zamieszczenie bloków wymiany</w:t>
      </w:r>
      <w:r w:rsidR="002436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danych ze stacją nadrzędną oraz struktur danych przekazywanych ze sterowników</w:t>
      </w:r>
      <w:r w:rsidR="002436F0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obiektowych.</w:t>
      </w:r>
    </w:p>
    <w:p w:rsidR="00725AFB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725AFB" w:rsidRPr="00A77D0F">
        <w:rPr>
          <w:rFonts w:ascii="Times New Roman" w:hAnsi="Times New Roman" w:cs="Times New Roman"/>
        </w:rPr>
        <w:t>Specyfikacja urządzeń aparatów i materiałów powinna zawierać wszystkie elementy</w:t>
      </w:r>
      <w:r w:rsidR="002436F0" w:rsidRPr="00A77D0F">
        <w:rPr>
          <w:rFonts w:ascii="Times New Roman" w:hAnsi="Times New Roman" w:cs="Times New Roman"/>
        </w:rPr>
        <w:t xml:space="preserve"> </w:t>
      </w:r>
      <w:r w:rsidR="00725AFB" w:rsidRPr="00A77D0F">
        <w:rPr>
          <w:rFonts w:ascii="Times New Roman" w:hAnsi="Times New Roman" w:cs="Times New Roman"/>
        </w:rPr>
        <w:t>występujące w opracowaniu wraz z określeniem ich niezbędnych parametrów technicznych.</w:t>
      </w:r>
      <w:r w:rsidR="002436F0" w:rsidRPr="00A77D0F">
        <w:rPr>
          <w:rFonts w:ascii="Times New Roman" w:hAnsi="Times New Roman" w:cs="Times New Roman"/>
        </w:rPr>
        <w:t xml:space="preserve"> </w:t>
      </w:r>
      <w:r w:rsidR="00725AFB" w:rsidRPr="00A77D0F">
        <w:rPr>
          <w:rFonts w:ascii="Times New Roman" w:hAnsi="Times New Roman" w:cs="Times New Roman"/>
        </w:rPr>
        <w:t>Dodatkowo wymaga się, aby była ona powiązana za pomocą oznaczeń symbolicznych</w:t>
      </w:r>
      <w:r w:rsidR="002436F0" w:rsidRPr="00A77D0F">
        <w:rPr>
          <w:rFonts w:ascii="Times New Roman" w:hAnsi="Times New Roman" w:cs="Times New Roman"/>
        </w:rPr>
        <w:t xml:space="preserve"> </w:t>
      </w:r>
      <w:r w:rsidR="00725AFB" w:rsidRPr="00A77D0F">
        <w:rPr>
          <w:rFonts w:ascii="Times New Roman" w:hAnsi="Times New Roman" w:cs="Times New Roman"/>
        </w:rPr>
        <w:t>(literowo-cyfrowych), z symbolami użytymi na planach i schematach oraz nazwami</w:t>
      </w:r>
      <w:r w:rsidR="002436F0" w:rsidRPr="00A77D0F">
        <w:rPr>
          <w:rFonts w:ascii="Times New Roman" w:hAnsi="Times New Roman" w:cs="Times New Roman"/>
        </w:rPr>
        <w:t xml:space="preserve"> </w:t>
      </w:r>
      <w:r w:rsidR="00725AFB" w:rsidRPr="00A77D0F">
        <w:rPr>
          <w:rFonts w:ascii="Times New Roman" w:hAnsi="Times New Roman" w:cs="Times New Roman"/>
        </w:rPr>
        <w:t>urządzeń wymienianymi w części opisowej.</w:t>
      </w:r>
    </w:p>
    <w:p w:rsidR="00725AFB" w:rsidRDefault="00A77D0F" w:rsidP="00A77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 </w:t>
      </w:r>
      <w:r w:rsidR="00725AFB" w:rsidRPr="00A77D0F">
        <w:rPr>
          <w:rFonts w:ascii="Times New Roman" w:hAnsi="Times New Roman" w:cs="Times New Roman"/>
        </w:rPr>
        <w:t>Dziennik kablowy musi zawierać oznaczenie symboliczne kabli zgodne z symboliką użytą w</w:t>
      </w:r>
      <w:r w:rsidR="002436F0" w:rsidRPr="00A77D0F">
        <w:rPr>
          <w:rFonts w:ascii="Times New Roman" w:hAnsi="Times New Roman" w:cs="Times New Roman"/>
        </w:rPr>
        <w:t xml:space="preserve"> </w:t>
      </w:r>
      <w:r w:rsidR="00725AFB" w:rsidRPr="00A77D0F">
        <w:rPr>
          <w:rFonts w:ascii="Times New Roman" w:hAnsi="Times New Roman" w:cs="Times New Roman"/>
        </w:rPr>
        <w:t>części rysunkowej tj.: typ kabla, liczbę żył, trasę kabla (skąd, dokąd) oraz przybliżoną</w:t>
      </w:r>
      <w:r w:rsidR="002436F0" w:rsidRPr="00A77D0F">
        <w:rPr>
          <w:rFonts w:ascii="Times New Roman" w:hAnsi="Times New Roman" w:cs="Times New Roman"/>
        </w:rPr>
        <w:t xml:space="preserve"> </w:t>
      </w:r>
      <w:r w:rsidR="00725AFB" w:rsidRPr="00A77D0F">
        <w:rPr>
          <w:rFonts w:ascii="Times New Roman" w:hAnsi="Times New Roman" w:cs="Times New Roman"/>
        </w:rPr>
        <w:t>długość.</w:t>
      </w:r>
    </w:p>
    <w:p w:rsidR="00725AFB" w:rsidRDefault="00F60D87" w:rsidP="00F60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="00725AFB">
        <w:rPr>
          <w:rFonts w:ascii="Times New Roman" w:hAnsi="Times New Roman" w:cs="Times New Roman"/>
        </w:rPr>
        <w:t>Część graficzna powinna zawierać:</w:t>
      </w:r>
    </w:p>
    <w:p w:rsidR="00F60D87" w:rsidRDefault="00F60D87" w:rsidP="00F60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schematy zasilania wszystkich urządzeń z podaniem zapotrzebowania na media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energetyczne,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schematy obwodowe układów pomiarów i automatyki zwane zasadami (nie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umieszczenia komentarza, że powyższe schematy znajdują się w</w:t>
      </w:r>
    </w:p>
    <w:p w:rsidR="00725AFB" w:rsidRDefault="00725AFB" w:rsidP="0024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elektrycznej),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schematy blokad i sygnalizacji,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rysunki tj.: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 xml:space="preserve">struktury połączeń pomiędzy wszystkimi urządzeniami </w:t>
      </w:r>
      <w:proofErr w:type="spellStart"/>
      <w:r w:rsidR="00725AFB">
        <w:rPr>
          <w:rFonts w:ascii="Times New Roman" w:hAnsi="Times New Roman" w:cs="Times New Roman"/>
        </w:rPr>
        <w:t>AKPiA</w:t>
      </w:r>
      <w:proofErr w:type="spellEnd"/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z rozróżnieniem na połączenia cyfrowe oparte na protokołach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komunikacyjnych, połączenia sygnałów binarnych i analogowych,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lokalizacyjne szaf sterowniczych, szafek obiektowych, tablic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 xml:space="preserve">i innych urządzeń </w:t>
      </w:r>
      <w:proofErr w:type="spellStart"/>
      <w:r w:rsidR="00725AFB">
        <w:rPr>
          <w:rFonts w:ascii="Times New Roman" w:hAnsi="Times New Roman" w:cs="Times New Roman"/>
        </w:rPr>
        <w:t>AKPiA</w:t>
      </w:r>
      <w:proofErr w:type="spellEnd"/>
      <w:r w:rsidR="00725AFB">
        <w:rPr>
          <w:rFonts w:ascii="Times New Roman" w:hAnsi="Times New Roman" w:cs="Times New Roman"/>
        </w:rPr>
        <w:t>, występujących w opisie technicznym,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lokalizacyjne tras kablowych z podaniem wymagań montażowych oraz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uwzględnieniem oznaczeń kabli wynikających z dziennika kablowego,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elewacja szaf sterowniczych, szafek obiektowych z opisem wszystkich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elementów sterujących, pomiarowych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i sygnalizacyjnych na nich zlokalizowanych (oznaczenie symboliczne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nawiązujące do schematów oraz tabliczki opisowe poszczególnych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elementów),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rozmieszczenia urządzeń, przyrządów, aparatów wewnątrz szaf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sterowniczych, obiektowych i na tablicach wraz z opisem wszystkich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elementów zgodnych z oznaczeniami na schematach</w:t>
      </w:r>
      <w:r w:rsidR="00973304">
        <w:rPr>
          <w:rFonts w:ascii="Times New Roman" w:hAnsi="Times New Roman" w:cs="Times New Roman"/>
        </w:rPr>
        <w:t xml:space="preserve"> </w:t>
      </w:r>
      <w:r w:rsidR="00725AFB">
        <w:rPr>
          <w:rFonts w:ascii="Times New Roman" w:hAnsi="Times New Roman" w:cs="Times New Roman"/>
        </w:rPr>
        <w:t>i w specyfikacji materiałowej,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listew połączeniowych elektrycznych i pneumatycznych,</w:t>
      </w:r>
    </w:p>
    <w:p w:rsidR="00725AFB" w:rsidRDefault="00725AFB" w:rsidP="00F80D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schematy połączeń wewnętrznych szaf sterujących,</w:t>
      </w:r>
    </w:p>
    <w:p w:rsidR="00725AFB" w:rsidRDefault="00725AFB" w:rsidP="00F80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konfiguracje tj.: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cyfrowych systemów sterowania, w tym sterowników,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komputerów wizualizacyjnych,</w:t>
      </w:r>
    </w:p>
    <w:p w:rsidR="00725AFB" w:rsidRDefault="00F60D87" w:rsidP="00F80D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-</w:t>
      </w:r>
      <w:r w:rsidR="00725AFB">
        <w:rPr>
          <w:rFonts w:ascii="Segoe UI Symbol" w:hAnsi="Segoe UI Symbol" w:cs="Segoe UI Symbol"/>
        </w:rPr>
        <w:t xml:space="preserve"> </w:t>
      </w:r>
      <w:r w:rsidR="00725AFB">
        <w:rPr>
          <w:rFonts w:ascii="Times New Roman" w:hAnsi="Times New Roman" w:cs="Times New Roman"/>
        </w:rPr>
        <w:t>wykaz przewodów sygnałowych i kabli z podaniem długości i ich połączeń.</w:t>
      </w:r>
    </w:p>
    <w:p w:rsidR="00973304" w:rsidRDefault="00973304" w:rsidP="00973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5AFB" w:rsidRPr="00725AFB" w:rsidRDefault="00725AFB" w:rsidP="00F60D8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60D87">
        <w:rPr>
          <w:rFonts w:ascii="Times New Roman" w:hAnsi="Times New Roman" w:cs="Times New Roman"/>
        </w:rPr>
        <w:t>W przypadku schematów należy szczególną uwagę zwrócić na wzajemne adresowanie</w:t>
      </w:r>
      <w:r w:rsidR="00973304" w:rsidRPr="00F60D87">
        <w:rPr>
          <w:rFonts w:ascii="Times New Roman" w:hAnsi="Times New Roman" w:cs="Times New Roman"/>
        </w:rPr>
        <w:t xml:space="preserve"> </w:t>
      </w:r>
      <w:r w:rsidRPr="00F60D87">
        <w:rPr>
          <w:rFonts w:ascii="Times New Roman" w:hAnsi="Times New Roman" w:cs="Times New Roman"/>
        </w:rPr>
        <w:t>urządzeń. Jeśli elementy urządzenia znajdują się na więcej niż jednym schemacie (np. cewka</w:t>
      </w:r>
      <w:r w:rsidR="00973304" w:rsidRPr="00F60D87">
        <w:rPr>
          <w:rFonts w:ascii="Times New Roman" w:hAnsi="Times New Roman" w:cs="Times New Roman"/>
        </w:rPr>
        <w:t xml:space="preserve"> </w:t>
      </w:r>
      <w:r w:rsidRPr="00F60D87">
        <w:rPr>
          <w:rFonts w:ascii="Times New Roman" w:hAnsi="Times New Roman" w:cs="Times New Roman"/>
        </w:rPr>
        <w:t>i styki przekaźnika), należy zawsze umieścić odniesienie do numeru schematu zawierającego</w:t>
      </w:r>
      <w:r w:rsidR="00973304" w:rsidRPr="00F60D87">
        <w:rPr>
          <w:rFonts w:ascii="Times New Roman" w:hAnsi="Times New Roman" w:cs="Times New Roman"/>
        </w:rPr>
        <w:t xml:space="preserve"> </w:t>
      </w:r>
      <w:r w:rsidRPr="00F60D87">
        <w:rPr>
          <w:rFonts w:ascii="Times New Roman" w:hAnsi="Times New Roman" w:cs="Times New Roman"/>
        </w:rPr>
        <w:t>pozostałe elementy urządzenia. To samo dotyczy oznaczenia przejść między schematami.</w:t>
      </w:r>
      <w:r w:rsidR="00973304" w:rsidRPr="00F60D87">
        <w:rPr>
          <w:rFonts w:ascii="Times New Roman" w:hAnsi="Times New Roman" w:cs="Times New Roman"/>
        </w:rPr>
        <w:t xml:space="preserve"> </w:t>
      </w:r>
      <w:r w:rsidRPr="00F60D87">
        <w:rPr>
          <w:rFonts w:ascii="Times New Roman" w:hAnsi="Times New Roman" w:cs="Times New Roman"/>
        </w:rPr>
        <w:t>Należy zawsze adresować linie przechodzące przez więcej niż jeden schemat</w:t>
      </w:r>
    </w:p>
    <w:sectPr w:rsidR="00725AFB" w:rsidRPr="0072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316"/>
    <w:multiLevelType w:val="hybridMultilevel"/>
    <w:tmpl w:val="DCE01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3596"/>
    <w:multiLevelType w:val="hybridMultilevel"/>
    <w:tmpl w:val="4BC08CCC"/>
    <w:lvl w:ilvl="0" w:tplc="A9720A1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55987"/>
    <w:multiLevelType w:val="hybridMultilevel"/>
    <w:tmpl w:val="C20489A0"/>
    <w:lvl w:ilvl="0" w:tplc="25660E3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56EE2"/>
    <w:multiLevelType w:val="hybridMultilevel"/>
    <w:tmpl w:val="3A9490DA"/>
    <w:lvl w:ilvl="0" w:tplc="05F85430">
      <w:start w:val="4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1608A"/>
    <w:multiLevelType w:val="hybridMultilevel"/>
    <w:tmpl w:val="7E5E72BE"/>
    <w:lvl w:ilvl="0" w:tplc="5CEEB1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6615993"/>
    <w:multiLevelType w:val="multilevel"/>
    <w:tmpl w:val="2A704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80"/>
    <w:rsid w:val="000B3E56"/>
    <w:rsid w:val="002436F0"/>
    <w:rsid w:val="002A572B"/>
    <w:rsid w:val="002D36CE"/>
    <w:rsid w:val="002F5F8B"/>
    <w:rsid w:val="003170F0"/>
    <w:rsid w:val="005E7A3F"/>
    <w:rsid w:val="005F13A0"/>
    <w:rsid w:val="00725AFB"/>
    <w:rsid w:val="007D6CE1"/>
    <w:rsid w:val="00834C20"/>
    <w:rsid w:val="00877EC8"/>
    <w:rsid w:val="008B6838"/>
    <w:rsid w:val="008D23CB"/>
    <w:rsid w:val="00973304"/>
    <w:rsid w:val="0099660C"/>
    <w:rsid w:val="009A1682"/>
    <w:rsid w:val="00A77D0F"/>
    <w:rsid w:val="00A87B87"/>
    <w:rsid w:val="00AF7280"/>
    <w:rsid w:val="00B64876"/>
    <w:rsid w:val="00C35824"/>
    <w:rsid w:val="00C93AEA"/>
    <w:rsid w:val="00D009FA"/>
    <w:rsid w:val="00D3763D"/>
    <w:rsid w:val="00DD4C77"/>
    <w:rsid w:val="00E958D4"/>
    <w:rsid w:val="00EF58A1"/>
    <w:rsid w:val="00F60D87"/>
    <w:rsid w:val="00F80D9C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E7B3"/>
  <w15:docId w15:val="{71F5C942-D640-4003-86DC-B99C3EB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0F0"/>
    <w:pPr>
      <w:ind w:left="720"/>
      <w:contextualSpacing/>
    </w:pPr>
  </w:style>
  <w:style w:type="paragraph" w:customStyle="1" w:styleId="Standard">
    <w:name w:val="Standard"/>
    <w:rsid w:val="007D6C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link w:val="Teksttreci1"/>
    <w:rsid w:val="007D6CE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D6CE1"/>
    <w:pPr>
      <w:widowControl w:val="0"/>
      <w:shd w:val="clear" w:color="auto" w:fill="FFFFFF"/>
      <w:spacing w:after="60" w:line="240" w:lineRule="atLeast"/>
      <w:ind w:hanging="9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CA54-D118-468D-ABBB-B501B02A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2779</Words>
  <Characters>16674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Zygmunt Haudek</cp:lastModifiedBy>
  <cp:revision>3</cp:revision>
  <dcterms:created xsi:type="dcterms:W3CDTF">2019-02-12T10:27:00Z</dcterms:created>
  <dcterms:modified xsi:type="dcterms:W3CDTF">2019-02-13T06:56:00Z</dcterms:modified>
</cp:coreProperties>
</file>